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501</w:t>
      </w:r>
    </w:p>
    <w:p>
      <w:r>
        <w:t>Bundesgericht (BGE), 2004-07-13, DE</w:t>
      </w:r>
    </w:p>
    <w:p>
      <w:r>
        <w:rPr>
          <w:b/>
        </w:rPr>
        <w:t xml:space="preserve">Quelle: </w:t>
      </w:r>
      <w:r>
        <w:t>https://mcp.opencaselaw.ch/entscheid/bge_130 V 501</w:t>
      </w:r>
    </w:p>
    <w:p>
      <w:r>
        <w:t>FR: ATF 130 V 501</w:t>
      </w:r>
    </w:p>
    <w:p>
      <w:r>
        <w:t>IT: DTF 130 V 501</w:t>
      </w:r>
    </w:p>
    <w:p>
      <w:pPr>
        <w:pStyle w:val="Heading2"/>
      </w:pPr>
      <w:r>
        <w:t>Regeste</w:t>
      </w:r>
    </w:p>
    <w:p>
      <w:r>
        <w:t>Regeste Art. 110 Abs. 1 OG; Art. 73 Abs. 3 und 4 BVG: Ausdehnung des Schriftenwechsels auf andere Beteiligte. Durch die Beiladung wird die Rechtskraft des (letztinstanzlich gefällten) Urteils auf die beigeladene Vorsorgeeinrichtung ausgedehnt. In einem allfälligen später gegen sie gerichteten Prozess hat die Beigeladene das Urteil gegen sich gelten zu lassen. Weiter gehende Wirkungen kommen der Beiladung nicht zu; sie führt namentlich nicht dazu, dass über Rechtsbegehren zu befinden ist, welche die Zusprechung von Leistungen der beigeladenen Vorsorgeeinrichtung zum Gegenstand haben (Erw. 1).</w:t>
      </w:r>
    </w:p>
    <w:p>
      <w:pPr>
        <w:pStyle w:val="Heading2"/>
      </w:pPr>
      <w:r>
        <w:t>Erwägungen</w:t>
      </w:r>
    </w:p>
    <w:p>
      <w:r>
        <w:rPr>
          <w:b/>
        </w:rPr>
        <w:t>E. 1.1</w:t>
      </w:r>
    </w:p>
    <w:p>
      <w:r>
        <w:t>Für die Umschreibung des Prozessthemas ist nach den Regeln über den Anfechtungs- und Streitgegenstand zu verfahren. Streitgegenstand im System der nachträglichen Verwaltungsrechtspflege, wie sie vor dem Eidgenössischen Versicherungsgericht auch in Berufsvorsorgestreitigkeiten ( Art. 73 Abs. 4 BVG ) stattfindet (Art. 128 in Verbindung mit Art. 97 ff. OG ), ist demnach das Rechtsverhältnis, welches - im Rahmen des durch den vorinstanzlichen Entscheid bestimmten Anfechtungsgegenstandes - den auf Grund der Beschwerdebegehren effektiv angefochtenen Verfügungsgegenstand der kantonalen Instanz gemäss Art. 98 lit. g OG bildet. Anfechtungsgegenstand und Streitgegenstand sind identisch, wenn die Verfügung (letztinstanzlich: der kantonale Gerichtsentscheid)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Hat die Verfügung nur ein Rechtsverhältnis zum Gegenstand und wird hiegegen Beschwerde geführt, macht der Anfechtungs- gleichzeitig den Streitgegenstand aus ( BGE 125 V 413 ff. Erw. 1b in Verbindung mit Erw. 2a; Urteil M. vom 18. Juni 2004, B 75/03, mit Hinweisen; MEYER-BLASER, Der Streitgegenstand im Streit - Erläuterungen zu BGE 125 V 413 , in: SCHAFFHAUSER/SCHLAURI [Hrsg.], Aktuelle Rechtsfragen der Sozialversicherungspraxis, St. Gallen 2001, S. 25 f.).</w:t>
      </w:r>
    </w:p>
    <w:p>
      <w:r>
        <w:rPr>
          <w:b/>
        </w:rPr>
        <w:t>E. 1.2</w:t>
      </w:r>
    </w:p>
    <w:p>
      <w:r>
        <w:t>Indem das Eidgenössische Versicherungsgericht die Lebensversicherungsanstalt R. AG gemäss Art. 110 Abs. 1 in Verbindung mit Art. 132 OG als Mitbeteiligte in das Verfahren einbezogen hat, wird die Rechtskraft des letztinstanzlich gefällten Urteils auf die Beigeladene ausgedehnt, sodass diese in einem allfälligen später gegen sie gerichteten Prozess jenes gegen sich gelten lassen muss ( BGE 125 V 94 Erw. 8b; RKUV 2003 Nr. U 485 S. 257 Erw. 3; vgl. auch BGE 118 Ib 360 Erw. 1c und RKUV 2003 Nr. KV 254 S. 237 Erw. 5.4; KÖLZ/BOSSHART/RÖHL, Kommentar zum Verwaltungsrechtspflegegesetz des Kantons Zürich, 2. Aufl., Zürich 1999, N 108 zu § 21; ISABELLE HÄNER, Die Beteiligten im Verwaltungsverfahren und Verwaltungsprozess, Zürich 2000, S. 166 N 299). Weiter gehende Wirkungen kommen der Beiladung nicht zu. Durch die BGE 130 V 501 S. 503 Beiladung wird namentlich der Anfechtungs- und Streitgegenstand - hier der Anspruch der Beschwerdeführerin gegenüber der Beschwerdegegnerin auf eine Invalidenrente nach BVG (vgl. Erw. 1.1 hievor) - nicht erweitert. Daran ändert auch der Umstand nichts, dass sich die Lebensversicherungsanstalt R. AG als Beigeladene im letztinstanzlichen Prozess vernehmlassungsweise auf den Standpunkt stellt, ihrerseits nicht leistungspflichtig zu sein. Über Rechtsbegehren, welche die Zusprechung einer Invalidenrente (oder die Feststellung einer Leistungspflicht) durch eine vorinstanzlich nicht eingeklagte Vorsorgeeinrichtung zum Gegenstand haben, ist, da ausserhalb des Anfechtungsgegenstandes liegend, letztinstanzlich nicht zu befinden. Wohl kann das Eidgenössische Versicherungsgericht rechtsprechungsgemäss das verwaltungsgerichtliche Verfahren aus prozessökonomischen Gründen auf eine ausserhalb des Anfechtungsgegenstandes, d.h. ausserhalb des durch die Verfügung bestimmten Rechtsverhältnisses liegende spruchreife Frage ausgedehnen,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Eine - analoge - Anwendung dieser Grundsätze in der Weise, dass über die Leistungspflicht einer vorinstanzlich nicht eingeklagten Vorsorgeeinrichtung im Prozess vor dem Eidgenössischen Versicherungsgericht zu befinden wäre, fällt indes bereits deshalb ausser Betracht, weil durch die gesetzliche Konzeption des erstinstanzlichen Prozesses als Klageverfahren ( Art. 73 Abs. 3 BVG ) im kantonalen Verfahren bestimmt wird, wem als Kläger oder Beklagtem Parteistellung zukommt. Ist sich die einen Anspruch geltend machende Person im Zeitpunkt der Klageerhebung nicht schlüssig darüber, welche Vorsorgeeinrichtung Versicherungsleistungen zu erbringen hat, steht es ihr frei, mehrere Klagen bei den örtlich zuständigen kantonalen Gerichten (vgl. Art. 73 Abs. 3 BVG ) anzuheben. Ist sich eine (nicht anwaltlich vertretene) Partei dieses Umstandes offensichtlich nicht bewusst, ist ein entsprechender verfahrensrechtlicher Hinweis durch das mit der Sache befasste kantonale Gericht statthaft (vgl. zur richterlichen Prozessleitung: GYGI, Bundesverwaltungsrechtspflege, 2. Aufl., Bern 1983, S. 55). Schliesslich kann der Gefahr etwaiger Anspruchsvernichtung zufolge Verjährung durch die Einholung entsprechender Verzichtserklärungen entgegengewirkt werden. BGE 130 V 501 S. 504</w:t>
      </w:r>
    </w:p>
    <w:p>
      <w:r>
        <w:rPr>
          <w:b/>
        </w:rPr>
        <w:t>E. 1.3</w:t>
      </w:r>
    </w:p>
    <w:p>
      <w:r>
        <w:t>Das in der Verwaltungsgerichtsbeschwerde unter Ziff. 4 gestellte Eventualbegehren zielt darauf, eine Leistungspflicht der Lebensversicherungsanstalt R. AG festzustellen, um einen erneuten Prozess zu verhindern. Im Lichte der in Erw. 1.1 und 1.2 eben dargelegten Grundsätze zum Anfechtungs- und Streitgegenstand sowie zur Beiladung ist die Rechtsvorkehr in diesem Punkt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